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34"/>
          <w:szCs w:val="34"/>
          <w:rtl w:val="0"/>
        </w:rPr>
      </w:pPr>
      <w:r>
        <w:rPr>
          <w:rFonts w:ascii="Times Roman" w:hAnsi="Times Roman"/>
          <w:b w:val="1"/>
          <w:bCs w:val="1"/>
          <w:sz w:val="34"/>
          <w:szCs w:val="34"/>
          <w:rtl w:val="0"/>
          <w:lang w:val="es-ES_tradnl"/>
        </w:rPr>
        <w:t>PROTOCOLO DE RECLAMACIONES</w:t>
      </w:r>
    </w:p>
    <w:p>
      <w:pPr>
        <w:pStyle w:val="caption"/>
      </w:pPr>
    </w:p>
    <w:p>
      <w:pPr>
        <w:pStyle w:val="caption"/>
        <w:jc w:val="left"/>
        <w:rPr>
          <w:b w:val="1"/>
          <w:bCs w:val="1"/>
          <w:sz w:val="16"/>
          <w:szCs w:val="16"/>
        </w:rPr>
      </w:pPr>
    </w:p>
    <w:tbl>
      <w:tblPr>
        <w:tblW w:w="1007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01"/>
        <w:gridCol w:w="5074"/>
      </w:tblGrid>
      <w:tr>
        <w:tblPrEx>
          <w:shd w:val="clear" w:color="auto" w:fill="cdd4e9"/>
        </w:tblPrEx>
        <w:trPr>
          <w:trHeight w:val="5835" w:hRule="atLeast"/>
        </w:trPr>
        <w:tc>
          <w:tcPr>
            <w:tcW w:type="dxa" w:w="5001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0"/>
                <w:bCs w:val="0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(a rellenar por el cliente)</w:t>
            </w:r>
            <w:r>
              <w:rPr>
                <w:rFonts w:ascii="Times Roman" w:hAnsi="Times Roman"/>
                <w:b w:val="0"/>
                <w:bCs w:val="0"/>
                <w:rtl w:val="0"/>
              </w:rPr>
              <w:t xml:space="preserve"> 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Nombre (empresa) y direcci</w:t>
            </w:r>
            <w:r>
              <w:rPr>
                <w:rFonts w:ascii="Times Roman" w:hAnsi="Times Roman" w:hint="default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n del comprador: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Standard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Standard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Standard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pt-PT"/>
              </w:rPr>
              <w:t>IMP/IVA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:</w:t>
            </w:r>
            <w:r>
              <w:rPr>
                <w:rFonts w:ascii="Tahoma" w:cs="Tahoma" w:hAnsi="Tahoma" w:eastAsia="Tahoma"/>
                <w:b w:val="1"/>
                <w:bCs w:val="1"/>
                <w:sz w:val="18"/>
                <w:szCs w:val="18"/>
                <w:rtl w:val="0"/>
              </w:rPr>
              <w:br w:type="textWrapping"/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Direcci</w:t>
            </w:r>
            <w:r>
              <w:rPr>
                <w:rFonts w:ascii="Times Roman" w:hAnsi="Times Roman" w:hint="default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n de devoluci</w:t>
            </w:r>
            <w:r>
              <w:rPr>
                <w:rFonts w:ascii="Times Roman" w:hAnsi="Times Roman" w:hint="default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n para el env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í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o de mercanc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í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as:</w:t>
            </w:r>
            <w:r>
              <w:rPr>
                <w:rFonts w:ascii="Times Roman" w:hAnsi="Times Roman"/>
                <w:b w:val="0"/>
                <w:bCs w:val="0"/>
                <w:rtl w:val="0"/>
              </w:rPr>
              <w:t xml:space="preserve">                                                                   </w:t>
            </w:r>
            <w:r>
              <w:rPr>
                <w:rFonts w:ascii="Times Roman" w:hAnsi="Times Roman"/>
                <w:b w:val="0"/>
                <w:bCs w:val="0"/>
                <w:rtl w:val="0"/>
                <w:lang w:val="es-ES_tradnl"/>
              </w:rPr>
              <w:t xml:space="preserve">(Si es la misma que la anterior, </w:t>
            </w:r>
            <w:r>
              <w:rPr>
                <w:rFonts w:ascii="Times Roman" w:hAnsi="Times Roman" w:hint="default"/>
                <w:b w:val="0"/>
                <w:bCs w:val="0"/>
                <w:rtl w:val="0"/>
                <w:lang w:val="es-ES_tradnl"/>
              </w:rPr>
              <w:t>¡</w:t>
            </w:r>
            <w:r>
              <w:rPr>
                <w:rFonts w:ascii="Times Roman" w:hAnsi="Times Roman"/>
                <w:b w:val="0"/>
                <w:bCs w:val="0"/>
                <w:rtl w:val="0"/>
                <w:lang w:val="it-IT"/>
              </w:rPr>
              <w:t>no rellene!)</w:t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rtl w:val="0"/>
              </w:rPr>
            </w:pP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Standard"/>
              <w:rPr>
                <w:rFonts w:ascii="Tahoma" w:cs="Tahoma" w:hAnsi="Tahoma" w:eastAsia="Tahoma"/>
                <w:sz w:val="18"/>
                <w:szCs w:val="18"/>
                <w:shd w:val="nil" w:color="auto" w:fill="auto"/>
              </w:rPr>
            </w:pP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</w:rPr>
              <w:t>N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ú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 xml:space="preserve">mero de cuenta bancaria (IBAN) para </w:t>
            </w:r>
            <w:r>
              <w:rPr>
                <w:rFonts w:ascii="Times Roman" w:hAnsi="Times Roman"/>
                <w:b w:val="1"/>
                <w:bCs w:val="1"/>
                <w:rtl w:val="0"/>
              </w:rPr>
              <w:t xml:space="preserve">       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posibles reembolsos:</w:t>
            </w:r>
            <w:r>
              <w:rPr>
                <w:rFonts w:ascii="Times Roman" w:cs="Times Roman" w:hAnsi="Times Roman" w:eastAsia="Times Roman"/>
                <w:b w:val="0"/>
                <w:bCs w:val="0"/>
                <w:rtl w:val="0"/>
              </w:rPr>
            </w:r>
          </w:p>
        </w:tc>
        <w:tc>
          <w:tcPr>
            <w:tcW w:type="dxa" w:w="5073"/>
            <w:tcBorders>
              <w:top w:val="single" w:color="00000a" w:sz="6" w:space="0" w:shadow="0" w:frame="0"/>
              <w:left w:val="nil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rPr>
                <w:rFonts w:ascii="Tahoma" w:cs="Tahoma" w:hAnsi="Tahoma" w:eastAsia="Tahoma"/>
                <w:b w:val="1"/>
                <w:bCs w:val="1"/>
                <w:shd w:val="nil" w:color="auto" w:fill="auto"/>
              </w:rPr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  <w:lang w:val="pt-PT"/>
              </w:rPr>
              <w:t xml:space="preserve"> CosmoNail s.r.o.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hd w:val="nil" w:color="auto" w:fill="auto"/>
                <w:rtl w:val="0"/>
              </w:rPr>
              <w:t xml:space="preserve">                          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I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/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VAT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 CZ07437528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ahoma" w:hAnsi="Tahoma"/>
                <w:b w:val="0"/>
                <w:bCs w:val="0"/>
                <w:sz w:val="18"/>
                <w:szCs w:val="18"/>
                <w:rtl w:val="0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 xml:space="preserve">Address: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Radlicka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2018/78, Praga, Rep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ú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blica Checa  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Phone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: +420 777 977 502</w:t>
            </w:r>
          </w:p>
          <w:p>
            <w:pPr>
              <w:pStyle w:val="Standar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E-mail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: info@bafishop.cz</w:t>
            </w:r>
            <w:r>
              <w:rPr>
                <w:sz w:val="18"/>
                <w:szCs w:val="18"/>
                <w:shd w:val="nil" w:color="auto" w:fill="auto"/>
              </w:rPr>
            </w:r>
          </w:p>
        </w:tc>
      </w:tr>
    </w:tbl>
    <w:p>
      <w:pPr>
        <w:pStyle w:val="caption"/>
        <w:widowControl w:val="0"/>
        <w:ind w:left="108" w:hanging="108"/>
        <w:jc w:val="left"/>
        <w:rPr>
          <w:b w:val="1"/>
          <w:bCs w:val="1"/>
          <w:sz w:val="16"/>
          <w:szCs w:val="16"/>
        </w:rPr>
      </w:pPr>
    </w:p>
    <w:p>
      <w:pPr>
        <w:pStyle w:val="caption"/>
        <w:widowControl w:val="0"/>
        <w:jc w:val="left"/>
        <w:rPr>
          <w:b w:val="1"/>
          <w:bCs w:val="1"/>
          <w:sz w:val="16"/>
          <w:szCs w:val="16"/>
        </w:rPr>
      </w:pPr>
    </w:p>
    <w:p>
      <w:pPr>
        <w:pStyle w:val="Standard"/>
        <w:rPr>
          <w:rFonts w:ascii="Tahoma" w:cs="Tahoma" w:hAnsi="Tahoma" w:eastAsia="Tahoma"/>
          <w:sz w:val="8"/>
          <w:szCs w:val="8"/>
        </w:rPr>
      </w:pPr>
    </w:p>
    <w:tbl>
      <w:tblPr>
        <w:tblW w:w="1007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75"/>
      </w:tblGrid>
      <w:tr>
        <w:tblPrEx>
          <w:shd w:val="clear" w:color="auto" w:fill="cdd4e9"/>
        </w:tblPrEx>
        <w:trPr>
          <w:trHeight w:val="2267" w:hRule="atLeast"/>
        </w:trPr>
        <w:tc>
          <w:tcPr>
            <w:tcW w:type="dxa" w:w="1007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0"/>
                <w:bCs w:val="0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it-IT"/>
              </w:rPr>
              <w:t>Mercanc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í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as reclamadas:</w:t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 xml:space="preserve">Fecha de compra: </w:t>
            </w:r>
            <w:r>
              <w:rPr>
                <w:rFonts w:ascii="Times Roman" w:hAnsi="Times Roman"/>
                <w:rtl w:val="0"/>
                <w:lang w:val="es-ES_tradnl"/>
              </w:rPr>
              <w:t>(Fecha de la factura)</w:t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</w:rPr>
              <w:t>N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ú</w:t>
            </w:r>
            <w:r>
              <w:rPr>
                <w:rFonts w:ascii="Times Roman" w:hAnsi="Times Roman"/>
                <w:b w:val="1"/>
                <w:bCs w:val="1"/>
                <w:rtl w:val="0"/>
                <w:lang w:val="pt-PT"/>
              </w:rPr>
              <w:t>mero de factura:</w:t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Direcci</w:t>
            </w:r>
            <w:r>
              <w:rPr>
                <w:rFonts w:ascii="Times Roman" w:hAnsi="Times Roman" w:hint="default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b w:val="1"/>
                <w:bCs w:val="1"/>
                <w:rtl w:val="0"/>
                <w:lang w:val="pt-PT"/>
              </w:rPr>
              <w:t>n para enviar mercader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í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as: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  <w:lang w:val="de-DE"/>
              </w:rPr>
              <w:t>BAFISHOP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  <w:lang w:val="de-DE"/>
              </w:rPr>
              <w:t>,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  <w:lang w:val="de-DE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  <w:lang w:val="de-DE"/>
              </w:rPr>
              <w:t>Radlick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  <w:lang w:val="de-DE"/>
              </w:rPr>
              <w:t>a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</w:rPr>
              <w:t xml:space="preserve"> 2018/78,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>
              <w:rPr>
                <w:rFonts w:ascii="Tahoma" w:hAnsi="Tahoma"/>
                <w:b w:val="1"/>
                <w:bCs w:val="1"/>
                <w:sz w:val="22"/>
                <w:szCs w:val="22"/>
                <w:rtl w:val="0"/>
              </w:rPr>
              <w:t xml:space="preserve">15000 </w:t>
            </w:r>
            <w:r>
              <w:rPr>
                <w:rFonts w:ascii="Tahoma" w:hAnsi="Tahoma"/>
                <w:b w:val="1"/>
                <w:bCs w:val="1"/>
                <w:rtl w:val="0"/>
              </w:rPr>
              <w:t>Praga, Rep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ú</w:t>
            </w:r>
            <w:r>
              <w:rPr>
                <w:rFonts w:ascii="Tahoma" w:hAnsi="Tahoma"/>
                <w:b w:val="1"/>
                <w:bCs w:val="1"/>
                <w:rtl w:val="0"/>
                <w:lang w:val="pt-PT"/>
              </w:rPr>
              <w:t>blica Chec</w:t>
            </w:r>
            <w:r>
              <w:rPr>
                <w:rFonts w:ascii="Tahoma" w:hAnsi="Tahoma"/>
                <w:b w:val="1"/>
                <w:bCs w:val="1"/>
                <w:rtl w:val="0"/>
              </w:rPr>
              <w:t>a</w:t>
            </w:r>
          </w:p>
        </w:tc>
      </w:tr>
    </w:tbl>
    <w:p>
      <w:pPr>
        <w:pStyle w:val="Standard"/>
        <w:widowControl w:val="0"/>
        <w:ind w:left="108" w:hanging="108"/>
        <w:rPr>
          <w:rFonts w:ascii="Tahoma" w:cs="Tahoma" w:hAnsi="Tahoma" w:eastAsia="Tahoma"/>
          <w:sz w:val="8"/>
          <w:szCs w:val="8"/>
        </w:rPr>
      </w:pPr>
    </w:p>
    <w:p>
      <w:pPr>
        <w:pStyle w:val="Standard"/>
        <w:rPr>
          <w:rFonts w:ascii="Tahoma" w:cs="Tahoma" w:hAnsi="Tahoma" w:eastAsia="Tahoma"/>
          <w:sz w:val="8"/>
          <w:szCs w:val="8"/>
        </w:rPr>
      </w:pPr>
    </w:p>
    <w:tbl>
      <w:tblPr>
        <w:tblW w:w="1007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75"/>
      </w:tblGrid>
      <w:tr>
        <w:tblPrEx>
          <w:shd w:val="clear" w:color="auto" w:fill="cdd4e9"/>
        </w:tblPrEx>
        <w:trPr>
          <w:trHeight w:val="1671" w:hRule="atLeast"/>
        </w:trPr>
        <w:tc>
          <w:tcPr>
            <w:tcW w:type="dxa" w:w="1007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Descripci</w:t>
            </w:r>
            <w:r>
              <w:rPr>
                <w:rFonts w:ascii="Times Roman" w:hAnsi="Times Roman" w:hint="default"/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n detallada del defecto:</w:t>
            </w: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ascii="Times Roman" w:cs="Times Roman" w:hAnsi="Times Roman" w:eastAsia="Times Roman"/>
                <w:rtl w:val="0"/>
              </w:rPr>
            </w:pP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M</w:t>
            </w:r>
            <w:r>
              <w:rPr>
                <w:rFonts w:ascii="Times Roman" w:hAnsi="Times Roman" w:hint="default"/>
                <w:rtl w:val="0"/>
                <w:lang w:val="fr-FR"/>
              </w:rPr>
              <w:t>é</w:t>
            </w:r>
            <w:r>
              <w:rPr>
                <w:rFonts w:ascii="Times Roman" w:hAnsi="Times Roman"/>
                <w:rtl w:val="0"/>
                <w:lang w:val="es-ES_tradnl"/>
              </w:rPr>
              <w:t>todo propuesto para resolver la reclamaci</w:t>
            </w:r>
            <w:r>
              <w:rPr>
                <w:rFonts w:ascii="Times Roman" w:hAnsi="Times Roman" w:hint="default"/>
                <w:rtl w:val="0"/>
                <w:lang w:val="es-ES_tradnl"/>
              </w:rPr>
              <w:t>ó</w:t>
            </w:r>
            <w:r>
              <w:rPr>
                <w:rFonts w:ascii="Times Roman" w:hAnsi="Times Roman"/>
                <w:rtl w:val="0"/>
                <w:lang w:val="de-DE"/>
              </w:rPr>
              <w:t>n:</w:t>
            </w:r>
          </w:p>
        </w:tc>
      </w:tr>
      <w:tr>
        <w:tblPrEx>
          <w:shd w:val="clear" w:color="auto" w:fill="cdd4e9"/>
        </w:tblPrEx>
        <w:trPr>
          <w:trHeight w:val="2082" w:hRule="atLeast"/>
        </w:trPr>
        <w:tc>
          <w:tcPr>
            <w:tcW w:type="dxa" w:w="10075"/>
            <w:tcBorders>
              <w:top w:val="single" w:color="00000a" w:sz="6" w:space="0" w:shadow="0" w:frame="0"/>
              <w:left w:val="single" w:color="00000a" w:sz="6" w:space="0" w:shadow="0" w:frame="0"/>
              <w:bottom w:val="single" w:color="00000a" w:sz="6" w:space="0" w:shadow="0" w:frame="0"/>
              <w:right w:val="single" w:color="00000a" w:sz="6" w:space="0" w:shadow="0" w:frame="0"/>
            </w:tcBorders>
            <w:shd w:val="clear" w:color="auto" w:fill="ffffff"/>
            <w:tcMar>
              <w:top w:type="dxa" w:w="80"/>
              <w:left w:type="dxa" w:w="222"/>
              <w:bottom w:type="dxa" w:w="80"/>
              <w:right w:type="dxa" w:w="293"/>
            </w:tcMar>
            <w:vAlign w:val="top"/>
          </w:tcPr>
          <w:p>
            <w:pPr>
              <w:pStyle w:val="List Paragraph"/>
              <w:bidi w:val="0"/>
              <w:ind w:left="0" w:right="0" w:firstLine="0"/>
              <w:jc w:val="both"/>
              <w:rPr>
                <w:rFonts w:ascii="Tahoma" w:cs="Tahoma" w:hAnsi="Tahoma" w:eastAsia="Tahoma"/>
                <w:sz w:val="16"/>
                <w:szCs w:val="16"/>
                <w:rtl w:val="0"/>
              </w:rPr>
            </w:pPr>
            <w:r>
              <w:rPr>
                <w:rFonts w:ascii="Tahoma" w:hAnsi="Tahoma"/>
                <w:sz w:val="16"/>
                <w:szCs w:val="16"/>
                <w:rtl w:val="0"/>
                <w:lang w:val="es-ES_tradnl"/>
              </w:rPr>
              <w:t>1. Al ejercer los derechos derivados de la responsabilidad por defectos, es aconsejable adjuntar el comprobante de compra de los productos o la factura, si se ha emitido, u otro documento que acredite la compra de los productos.</w:t>
            </w:r>
          </w:p>
          <w:p>
            <w:pPr>
              <w:pStyle w:val="List Paragraph"/>
              <w:bidi w:val="0"/>
              <w:ind w:left="0" w:right="0" w:firstLine="0"/>
              <w:jc w:val="both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Tahoma" w:hAnsi="Tahoma"/>
                <w:sz w:val="16"/>
                <w:szCs w:val="16"/>
                <w:rtl w:val="0"/>
                <w:lang w:val="es-ES_tradnl"/>
              </w:rPr>
              <w:t>2. Al enviar los productos, el comprador est</w:t>
            </w:r>
            <w:r>
              <w:rPr>
                <w:rFonts w:ascii="Tahoma" w:hAnsi="Tahoma" w:hint="default"/>
                <w:sz w:val="16"/>
                <w:szCs w:val="16"/>
                <w:rtl w:val="0"/>
              </w:rPr>
              <w:t xml:space="preserve">á </w:t>
            </w:r>
            <w:r>
              <w:rPr>
                <w:rFonts w:ascii="Tahoma" w:hAnsi="Tahoma"/>
                <w:sz w:val="16"/>
                <w:szCs w:val="16"/>
                <w:rtl w:val="0"/>
                <w:lang w:val="es-ES_tradnl"/>
              </w:rPr>
              <w:t>obligado a embalarlos en un embalaje adecuado para que no se da</w:t>
            </w:r>
            <w:r>
              <w:rPr>
                <w:rFonts w:ascii="Tahoma" w:hAnsi="Tahoma" w:hint="default"/>
                <w:sz w:val="16"/>
                <w:szCs w:val="16"/>
                <w:rtl w:val="0"/>
                <w:lang w:val="es-ES_tradnl"/>
              </w:rPr>
              <w:t>ñ</w:t>
            </w:r>
            <w:r>
              <w:rPr>
                <w:rFonts w:ascii="Tahoma" w:hAnsi="Tahoma"/>
                <w:sz w:val="16"/>
                <w:szCs w:val="16"/>
                <w:rtl w:val="0"/>
                <w:lang w:val="es-ES_tradnl"/>
              </w:rPr>
              <w:t>en ni se destruyan.</w:t>
            </w:r>
          </w:p>
          <w:p>
            <w:pPr>
              <w:pStyle w:val="Standard"/>
              <w:ind w:right="213"/>
              <w:jc w:val="both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Standard"/>
              <w:ind w:left="142" w:right="213" w:firstLine="0"/>
              <w:jc w:val="both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Výchozí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Fecha</w:t>
            </w:r>
            <w:r>
              <w:rPr>
                <w:rFonts w:ascii="Times Roman" w:hAnsi="Times Roman"/>
                <w:b w:val="0"/>
                <w:bCs w:val="0"/>
                <w:rtl w:val="0"/>
              </w:rPr>
              <w:t>: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________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_______________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___          </w:t>
            </w:r>
            <w:r>
              <w:rPr>
                <w:rFonts w:ascii="Times Roman" w:hAnsi="Times Roman"/>
                <w:b w:val="1"/>
                <w:bCs w:val="1"/>
                <w:rtl w:val="0"/>
                <w:lang w:val="es-ES_tradnl"/>
              </w:rPr>
              <w:t>Firma del comprador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_____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__________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____________</w:t>
            </w:r>
          </w:p>
        </w:tc>
      </w:tr>
    </w:tbl>
    <w:p>
      <w:pPr>
        <w:pStyle w:val="Standard"/>
        <w:widowControl w:val="0"/>
        <w:ind w:left="108" w:hanging="108"/>
        <w:rPr>
          <w:rFonts w:ascii="Tahoma" w:cs="Tahoma" w:hAnsi="Tahoma" w:eastAsia="Tahoma"/>
          <w:sz w:val="8"/>
          <w:szCs w:val="8"/>
        </w:rPr>
      </w:pPr>
    </w:p>
    <w:p>
      <w:pPr>
        <w:pStyle w:val="Standard"/>
        <w:widowControl w:val="0"/>
        <w:rPr>
          <w:rFonts w:ascii="Tahoma" w:cs="Tahoma" w:hAnsi="Tahoma" w:eastAsia="Tahoma"/>
          <w:sz w:val="8"/>
          <w:szCs w:val="8"/>
        </w:rPr>
      </w:pPr>
    </w:p>
    <w:p>
      <w:pPr>
        <w:pStyle w:val="Standard"/>
        <w:widowControl w:val="0"/>
        <w:ind w:left="108" w:hanging="108"/>
      </w:pPr>
      <w:r>
        <w:rPr>
          <w:rFonts w:ascii="Tahoma" w:cs="Tahoma" w:hAnsi="Tahoma" w:eastAsia="Tahoma"/>
          <w:sz w:val="8"/>
          <w:szCs w:val="8"/>
        </w:rPr>
      </w:r>
    </w:p>
    <w:sectPr>
      <w:headerReference w:type="default" r:id="rId4"/>
      <w:footerReference w:type="default" r:id="rId5"/>
      <w:pgSz w:w="11900" w:h="16840" w:orient="portrait"/>
      <w:pgMar w:top="567" w:right="851" w:bottom="777" w:left="851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